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9C59B0">
      <w:pPr>
        <w:jc w:val="center"/>
        <w:rPr>
          <w:b/>
          <w:sz w:val="52"/>
          <w:szCs w:val="52"/>
        </w:rPr>
      </w:pPr>
    </w:p>
    <w:p w14:paraId="47A1F69A">
      <w:pPr>
        <w:jc w:val="center"/>
        <w:rPr>
          <w:b/>
          <w:sz w:val="52"/>
          <w:szCs w:val="52"/>
        </w:rPr>
      </w:pPr>
    </w:p>
    <w:p w14:paraId="284DA2C3">
      <w:pPr>
        <w:jc w:val="center"/>
        <w:rPr>
          <w:b/>
          <w:sz w:val="52"/>
          <w:szCs w:val="52"/>
        </w:rPr>
      </w:pPr>
    </w:p>
    <w:p w14:paraId="09BBD06A">
      <w:pPr>
        <w:jc w:val="center"/>
        <w:rPr>
          <w:b/>
          <w:sz w:val="52"/>
          <w:szCs w:val="52"/>
        </w:rPr>
      </w:pPr>
      <w:r>
        <w:rPr>
          <w:rFonts w:hint="eastAsia"/>
          <w:b/>
          <w:sz w:val="52"/>
          <w:szCs w:val="52"/>
          <w:lang w:val="en-US" w:eastAsia="zh-CN"/>
        </w:rPr>
        <w:t>2026年春季学期</w:t>
      </w:r>
      <w:r>
        <w:rPr>
          <w:rFonts w:hint="eastAsia"/>
          <w:b/>
          <w:sz w:val="52"/>
          <w:szCs w:val="52"/>
        </w:rPr>
        <w:t>选课操作手册</w:t>
      </w:r>
    </w:p>
    <w:p w14:paraId="0CE2368B">
      <w:pPr>
        <w:jc w:val="center"/>
        <w:rPr>
          <w:rFonts w:hint="eastAsia" w:eastAsiaTheme="minorEastAsia"/>
          <w:b/>
          <w:sz w:val="52"/>
          <w:szCs w:val="52"/>
          <w:lang w:eastAsia="zh-CN"/>
        </w:rPr>
      </w:pPr>
      <w:r>
        <w:rPr>
          <w:rFonts w:hint="eastAsia"/>
          <w:b/>
          <w:sz w:val="52"/>
          <w:szCs w:val="52"/>
          <w:lang w:eastAsia="zh-CN"/>
        </w:rPr>
        <w:t>（</w:t>
      </w:r>
      <w:r>
        <w:rPr>
          <w:rFonts w:hint="eastAsia"/>
          <w:b/>
          <w:sz w:val="52"/>
          <w:szCs w:val="52"/>
          <w:lang w:val="en-US" w:eastAsia="zh-CN"/>
        </w:rPr>
        <w:t>学生版</w:t>
      </w:r>
      <w:r>
        <w:rPr>
          <w:rFonts w:hint="eastAsia"/>
          <w:b/>
          <w:sz w:val="52"/>
          <w:szCs w:val="52"/>
          <w:lang w:eastAsia="zh-CN"/>
        </w:rPr>
        <w:t>）</w:t>
      </w:r>
    </w:p>
    <w:p w14:paraId="5821476F">
      <w:pPr>
        <w:jc w:val="center"/>
        <w:rPr>
          <w:b/>
          <w:sz w:val="52"/>
          <w:szCs w:val="52"/>
        </w:rPr>
      </w:pPr>
    </w:p>
    <w:p w14:paraId="10E551A2">
      <w:pPr>
        <w:jc w:val="center"/>
        <w:rPr>
          <w:b/>
          <w:sz w:val="52"/>
          <w:szCs w:val="52"/>
        </w:rPr>
      </w:pPr>
    </w:p>
    <w:p w14:paraId="74BFF036">
      <w:pPr>
        <w:jc w:val="center"/>
        <w:rPr>
          <w:b/>
          <w:sz w:val="52"/>
          <w:szCs w:val="52"/>
        </w:rPr>
      </w:pPr>
    </w:p>
    <w:p w14:paraId="7F5D14E7">
      <w:pPr>
        <w:jc w:val="center"/>
        <w:rPr>
          <w:b/>
          <w:sz w:val="52"/>
          <w:szCs w:val="52"/>
        </w:rPr>
      </w:pPr>
    </w:p>
    <w:p w14:paraId="2FF5951B">
      <w:pPr>
        <w:jc w:val="center"/>
        <w:rPr>
          <w:b/>
          <w:sz w:val="52"/>
          <w:szCs w:val="52"/>
        </w:rPr>
      </w:pPr>
    </w:p>
    <w:p w14:paraId="2DEA67B3">
      <w:pPr>
        <w:jc w:val="center"/>
        <w:rPr>
          <w:b/>
          <w:sz w:val="52"/>
          <w:szCs w:val="52"/>
        </w:rPr>
      </w:pPr>
    </w:p>
    <w:p w14:paraId="4BE882DA">
      <w:pPr>
        <w:jc w:val="center"/>
        <w:rPr>
          <w:b/>
          <w:sz w:val="52"/>
          <w:szCs w:val="52"/>
        </w:rPr>
      </w:pPr>
    </w:p>
    <w:p w14:paraId="7C9E2546">
      <w:pPr>
        <w:jc w:val="center"/>
        <w:rPr>
          <w:b/>
          <w:sz w:val="52"/>
          <w:szCs w:val="52"/>
        </w:rPr>
      </w:pPr>
    </w:p>
    <w:p w14:paraId="69D10420">
      <w:r>
        <w:br w:type="page"/>
      </w:r>
    </w:p>
    <w:p w14:paraId="6A04E2F8">
      <w:pPr>
        <w:spacing w:line="360" w:lineRule="auto"/>
        <w:rPr>
          <w:rFonts w:hint="eastAsia" w:asciiTheme="minorEastAsia" w:hAnsiTheme="minorEastAsia" w:cstheme="minorEastAsia"/>
          <w:b/>
          <w:bCs/>
          <w:sz w:val="24"/>
        </w:rPr>
      </w:pPr>
      <w:r>
        <w:rPr>
          <w:rFonts w:hint="eastAsia" w:asciiTheme="minorEastAsia" w:hAnsiTheme="minorEastAsia" w:cstheme="minorEastAsia"/>
          <w:b/>
          <w:bCs/>
          <w:sz w:val="24"/>
        </w:rPr>
        <w:t>1 登录系统</w:t>
      </w:r>
    </w:p>
    <w:p w14:paraId="5884384E">
      <w:pPr>
        <w:spacing w:line="360" w:lineRule="auto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 xml:space="preserve">1.1  登录方式 </w:t>
      </w:r>
    </w:p>
    <w:p w14:paraId="6370FDF9">
      <w:pPr>
        <w:pStyle w:val="19"/>
        <w:spacing w:line="360" w:lineRule="auto"/>
        <w:ind w:left="363" w:firstLine="0" w:firstLineChars="0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建议选用Google Chome浏览器</w:t>
      </w:r>
    </w:p>
    <w:p w14:paraId="00CC1A0B">
      <w:pPr>
        <w:pStyle w:val="19"/>
        <w:spacing w:line="360" w:lineRule="auto"/>
        <w:ind w:left="363" w:firstLine="0" w:firstLineChars="0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访问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>武汉理工大学本科选课</w:t>
      </w:r>
      <w:r>
        <w:rPr>
          <w:rFonts w:hint="eastAsia" w:asciiTheme="minorEastAsia" w:hAnsiTheme="minorEastAsia" w:cstheme="minorEastAsia"/>
          <w:sz w:val="24"/>
        </w:rPr>
        <w:t>系统网址（https://jwxk.whut.edu.cn/）</w:t>
      </w:r>
    </w:p>
    <w:p w14:paraId="310FD0A5">
      <w:pPr>
        <w:pStyle w:val="19"/>
        <w:spacing w:line="360" w:lineRule="auto"/>
        <w:ind w:left="360" w:firstLine="720" w:firstLineChars="300"/>
        <w:rPr>
          <w:rFonts w:hint="eastAsia" w:asciiTheme="minorEastAsia" w:hAnsiTheme="minorEastAsia" w:cstheme="minorEastAsia"/>
          <w:color w:val="FF0000"/>
          <w:sz w:val="24"/>
        </w:rPr>
      </w:pPr>
      <w:r>
        <w:rPr>
          <w:rFonts w:hint="eastAsia" w:asciiTheme="minorEastAsia" w:hAnsiTheme="minorEastAsia" w:cstheme="minorEastAsia"/>
          <w:color w:val="FF0000"/>
          <w:sz w:val="24"/>
        </w:rPr>
        <w:t>登录方式1：输入账号密码（账号密码同统一身份认证账号密码一致）</w:t>
      </w:r>
    </w:p>
    <w:p w14:paraId="46C409B5">
      <w:pPr>
        <w:pStyle w:val="19"/>
        <w:spacing w:line="360" w:lineRule="auto"/>
        <w:ind w:left="360" w:firstLine="720" w:firstLineChars="300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如下图：</w:t>
      </w:r>
    </w:p>
    <w:p w14:paraId="69B539D5">
      <w:pPr>
        <w:pStyle w:val="19"/>
        <w:spacing w:line="360" w:lineRule="auto"/>
        <w:ind w:firstLine="480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drawing>
          <wp:inline distT="0" distB="0" distL="0" distR="0">
            <wp:extent cx="5274310" cy="2700020"/>
            <wp:effectExtent l="0" t="0" r="254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0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789710">
      <w:pPr>
        <w:spacing w:line="360" w:lineRule="auto"/>
        <w:rPr>
          <w:rFonts w:hint="eastAsia" w:asciiTheme="minorEastAsia" w:hAnsiTheme="minorEastAsia" w:cstheme="minorEastAsia"/>
          <w:b/>
          <w:bCs/>
          <w:sz w:val="24"/>
        </w:rPr>
      </w:pPr>
      <w:r>
        <w:rPr>
          <w:rFonts w:hint="eastAsia" w:asciiTheme="minorEastAsia" w:hAnsiTheme="minorEastAsia" w:cstheme="minorEastAsia"/>
          <w:b/>
          <w:bCs/>
          <w:sz w:val="24"/>
        </w:rPr>
        <w:t>2 系统操作</w:t>
      </w:r>
    </w:p>
    <w:p w14:paraId="6E551ABF">
      <w:pPr>
        <w:spacing w:line="360" w:lineRule="auto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2.1 选课操作</w:t>
      </w:r>
    </w:p>
    <w:p w14:paraId="51EFFCE8">
      <w:pPr>
        <w:spacing w:line="360" w:lineRule="auto"/>
        <w:ind w:firstLine="240" w:firstLineChars="100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步骤一：在选课登录页面，输入账号和密码，点击登录：登录后，选择需要选课的轮次</w:t>
      </w:r>
    </w:p>
    <w:p w14:paraId="7EC6434B">
      <w:pPr>
        <w:spacing w:line="360" w:lineRule="auto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drawing>
          <wp:inline distT="0" distB="0" distL="0" distR="0">
            <wp:extent cx="5274310" cy="2742565"/>
            <wp:effectExtent l="0" t="0" r="2540" b="63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42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108D7C">
      <w:pPr>
        <w:spacing w:line="360" w:lineRule="auto"/>
        <w:rPr>
          <w:rFonts w:hint="eastAsia" w:asciiTheme="minorEastAsia" w:hAnsiTheme="minorEastAsia" w:cstheme="minorEastAsia"/>
          <w:sz w:val="24"/>
        </w:rPr>
      </w:pPr>
      <w:r>
        <w:drawing>
          <wp:inline distT="0" distB="0" distL="114300" distR="114300">
            <wp:extent cx="5262245" cy="2662555"/>
            <wp:effectExtent l="0" t="0" r="10795" b="4445"/>
            <wp:docPr id="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66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107DA0">
      <w:pPr>
        <w:spacing w:line="360" w:lineRule="auto"/>
        <w:rPr>
          <w:rFonts w:hint="eastAsia" w:asciiTheme="minorEastAsia" w:hAnsiTheme="minorEastAsia" w:cstheme="minorEastAsia"/>
          <w:sz w:val="24"/>
        </w:rPr>
      </w:pPr>
    </w:p>
    <w:p w14:paraId="20B04A14">
      <w:pPr>
        <w:spacing w:line="360" w:lineRule="auto"/>
        <w:ind w:firstLine="240" w:firstLineChars="100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步骤二：进入选课系统，点击开始选课，选课页面</w:t>
      </w:r>
    </w:p>
    <w:p w14:paraId="2616AAEC">
      <w:pPr>
        <w:widowControl/>
        <w:spacing w:line="360" w:lineRule="auto"/>
        <w:jc w:val="left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drawing>
          <wp:inline distT="0" distB="0" distL="0" distR="0">
            <wp:extent cx="5274310" cy="2703830"/>
            <wp:effectExtent l="0" t="0" r="2540" b="127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03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A7E86A">
      <w:pPr>
        <w:pStyle w:val="19"/>
        <w:spacing w:line="360" w:lineRule="auto"/>
        <w:ind w:left="360" w:firstLine="0" w:firstLineChars="0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步骤三：进入选课页面，按照不同页面进行选课，选课页签包含：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>本学期应修课程</w:t>
      </w:r>
      <w:r>
        <w:rPr>
          <w:rFonts w:hint="eastAsia" w:asciiTheme="minorEastAsia" w:hAnsiTheme="minorEastAsia" w:cstheme="minorEastAsia"/>
          <w:sz w:val="24"/>
        </w:rPr>
        <w:t>、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>其他</w:t>
      </w:r>
      <w:r>
        <w:rPr>
          <w:rFonts w:hint="eastAsia" w:asciiTheme="minorEastAsia" w:hAnsiTheme="minorEastAsia" w:cstheme="minorEastAsia"/>
          <w:sz w:val="24"/>
        </w:rPr>
        <w:t>方案内课程、方案外课程、重修</w:t>
      </w:r>
      <w:r>
        <w:rPr>
          <w:rFonts w:hint="eastAsia" w:asciiTheme="minorEastAsia" w:hAnsiTheme="minorEastAsia" w:cstheme="minorEastAsia"/>
          <w:sz w:val="24"/>
          <w:lang w:eastAsia="zh-CN"/>
        </w:rPr>
        <w:t>、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>刷分</w:t>
      </w:r>
      <w:r>
        <w:rPr>
          <w:rFonts w:hint="eastAsia" w:asciiTheme="minorEastAsia" w:hAnsiTheme="minorEastAsia" w:cstheme="minorEastAsia"/>
          <w:sz w:val="24"/>
        </w:rPr>
        <w:t>课程、英语、体育课程、通识选修、个性课程、辅修、微专业课程、全校课程查询、已选课程</w:t>
      </w:r>
    </w:p>
    <w:p w14:paraId="1A8C0BB1">
      <w:pPr>
        <w:spacing w:line="360" w:lineRule="auto"/>
        <w:rPr>
          <w:rFonts w:hint="eastAsia" w:asciiTheme="minorEastAsia" w:hAnsiTheme="minorEastAsia" w:cstheme="minorEastAsia"/>
          <w:sz w:val="24"/>
        </w:rPr>
      </w:pPr>
      <w:r>
        <w:drawing>
          <wp:inline distT="0" distB="0" distL="114300" distR="114300">
            <wp:extent cx="5266690" cy="1854200"/>
            <wp:effectExtent l="0" t="0" r="6350" b="5080"/>
            <wp:docPr id="1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85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A94F55">
      <w:pPr>
        <w:pStyle w:val="19"/>
        <w:numPr>
          <w:ilvl w:val="0"/>
          <w:numId w:val="2"/>
        </w:numPr>
        <w:spacing w:line="360" w:lineRule="auto"/>
        <w:ind w:firstLineChars="0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  <w:lang w:val="en-US" w:eastAsia="zh-CN"/>
        </w:rPr>
        <w:t>本学期应修课程</w:t>
      </w:r>
      <w:r>
        <w:rPr>
          <w:rFonts w:hint="eastAsia" w:asciiTheme="minorEastAsia" w:hAnsiTheme="minorEastAsia" w:cstheme="minorEastAsia"/>
          <w:sz w:val="24"/>
        </w:rPr>
        <w:t>：即为学生需要开设的专业课程</w:t>
      </w:r>
    </w:p>
    <w:p w14:paraId="3F55350A">
      <w:pPr>
        <w:pStyle w:val="19"/>
        <w:numPr>
          <w:ilvl w:val="0"/>
          <w:numId w:val="2"/>
        </w:numPr>
        <w:spacing w:line="360" w:lineRule="auto"/>
        <w:ind w:firstLineChars="0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  <w:lang w:val="en-US" w:eastAsia="zh-CN"/>
        </w:rPr>
        <w:t>其他</w:t>
      </w:r>
      <w:r>
        <w:rPr>
          <w:rFonts w:hint="eastAsia" w:asciiTheme="minorEastAsia" w:hAnsiTheme="minorEastAsia" w:cstheme="minorEastAsia"/>
          <w:sz w:val="24"/>
        </w:rPr>
        <w:t>方案内课程：为学生方案内的课程，包含：本年级本专业的课程、高年级本专业的课程、低年级本专业的课程</w:t>
      </w:r>
    </w:p>
    <w:p w14:paraId="42E08D36">
      <w:pPr>
        <w:pStyle w:val="19"/>
        <w:numPr>
          <w:ilvl w:val="0"/>
          <w:numId w:val="2"/>
        </w:numPr>
        <w:spacing w:line="360" w:lineRule="auto"/>
        <w:ind w:firstLineChars="0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方案外课程：非本专业课程，为其他专业课程。</w:t>
      </w:r>
    </w:p>
    <w:p w14:paraId="3B961C85">
      <w:pPr>
        <w:pStyle w:val="19"/>
        <w:numPr>
          <w:ilvl w:val="0"/>
          <w:numId w:val="2"/>
        </w:numPr>
        <w:spacing w:line="360" w:lineRule="auto"/>
        <w:ind w:firstLineChars="0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重修</w:t>
      </w:r>
      <w:r>
        <w:rPr>
          <w:rFonts w:hint="eastAsia" w:asciiTheme="minorEastAsia" w:hAnsiTheme="minorEastAsia" w:cstheme="minorEastAsia"/>
          <w:sz w:val="24"/>
          <w:lang w:eastAsia="zh-CN"/>
        </w:rPr>
        <w:t>、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>刷分</w:t>
      </w:r>
      <w:r>
        <w:rPr>
          <w:rFonts w:hint="eastAsia" w:asciiTheme="minorEastAsia" w:hAnsiTheme="minorEastAsia" w:cstheme="minorEastAsia"/>
          <w:sz w:val="24"/>
        </w:rPr>
        <w:t xml:space="preserve">课程：重修中分为两种情况：一种是重修（不及格重修选课）、一种是刷分（成绩及格后的选课） </w:t>
      </w:r>
    </w:p>
    <w:p w14:paraId="08D0F43C">
      <w:pPr>
        <w:pStyle w:val="19"/>
        <w:numPr>
          <w:ilvl w:val="0"/>
          <w:numId w:val="2"/>
        </w:numPr>
        <w:spacing w:line="360" w:lineRule="auto"/>
        <w:ind w:firstLineChars="0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英语、体育课程：英语和体育课程单独页签进行选课</w:t>
      </w:r>
    </w:p>
    <w:p w14:paraId="53365413">
      <w:pPr>
        <w:pStyle w:val="19"/>
        <w:numPr>
          <w:ilvl w:val="0"/>
          <w:numId w:val="2"/>
        </w:numPr>
        <w:spacing w:line="360" w:lineRule="auto"/>
        <w:ind w:firstLineChars="0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通识选修、个性课程：学校开设的通识选修课和个性课程</w:t>
      </w:r>
    </w:p>
    <w:p w14:paraId="6644322B">
      <w:pPr>
        <w:pStyle w:val="19"/>
        <w:numPr>
          <w:ilvl w:val="0"/>
          <w:numId w:val="2"/>
        </w:numPr>
        <w:spacing w:line="360" w:lineRule="auto"/>
        <w:ind w:firstLineChars="0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辅修、微专业：学生选修微专业和辅修专业的课程</w:t>
      </w:r>
    </w:p>
    <w:p w14:paraId="61459095">
      <w:pPr>
        <w:pStyle w:val="19"/>
        <w:numPr>
          <w:ilvl w:val="0"/>
          <w:numId w:val="2"/>
        </w:numPr>
        <w:spacing w:line="360" w:lineRule="auto"/>
        <w:ind w:firstLineChars="0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全校课程查询、可以查询本轮次的所有课程，并可以检查每一门课因为什么而不能选择</w:t>
      </w:r>
    </w:p>
    <w:p w14:paraId="44C892B9">
      <w:pPr>
        <w:pStyle w:val="19"/>
        <w:numPr>
          <w:ilvl w:val="0"/>
          <w:numId w:val="2"/>
        </w:numPr>
        <w:spacing w:line="360" w:lineRule="auto"/>
        <w:ind w:firstLineChars="0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已选课程：学生的已选课程、和退选课程查询</w:t>
      </w:r>
    </w:p>
    <w:p w14:paraId="5DB1A0F1">
      <w:pPr>
        <w:spacing w:line="360" w:lineRule="auto"/>
        <w:rPr>
          <w:rFonts w:hint="eastAsia" w:asciiTheme="minorEastAsia" w:hAnsiTheme="minorEastAsia" w:cstheme="minorEastAsia"/>
          <w:sz w:val="24"/>
        </w:rPr>
      </w:pPr>
    </w:p>
    <w:p w14:paraId="0278204F">
      <w:pPr>
        <w:spacing w:line="360" w:lineRule="auto"/>
        <w:rPr>
          <w:rFonts w:hint="eastAsia" w:asciiTheme="minorEastAsia" w:hAnsiTheme="minorEastAsia" w:cstheme="minorEastAsia"/>
          <w:sz w:val="24"/>
        </w:rPr>
      </w:pPr>
    </w:p>
    <w:p w14:paraId="557C399C">
      <w:pPr>
        <w:spacing w:line="360" w:lineRule="auto"/>
        <w:ind w:firstLine="240" w:firstLineChars="100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步骤四：选课页面中点击课程行，课程会下拉出现本课程的开设教学班</w:t>
      </w:r>
    </w:p>
    <w:p w14:paraId="19BAF762">
      <w:pPr>
        <w:spacing w:line="360" w:lineRule="auto"/>
        <w:ind w:firstLine="240" w:firstLineChars="100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drawing>
          <wp:inline distT="0" distB="0" distL="0" distR="0">
            <wp:extent cx="5274310" cy="2050415"/>
            <wp:effectExtent l="0" t="0" r="2540" b="6985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5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B12FB0">
      <w:pPr>
        <w:spacing w:line="360" w:lineRule="auto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 xml:space="preserve">  </w:t>
      </w:r>
    </w:p>
    <w:p w14:paraId="0C7F388D">
      <w:pPr>
        <w:widowControl/>
        <w:spacing w:line="360" w:lineRule="auto"/>
        <w:jc w:val="left"/>
        <w:rPr>
          <w:rFonts w:hint="eastAsia" w:asciiTheme="minorEastAsia" w:hAnsiTheme="minorEastAsia" w:cstheme="minorEastAsia"/>
          <w:sz w:val="24"/>
        </w:rPr>
      </w:pPr>
    </w:p>
    <w:p w14:paraId="07A922E3">
      <w:pPr>
        <w:spacing w:line="360" w:lineRule="auto"/>
        <w:ind w:firstLine="240" w:firstLineChars="100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步骤五：点击选择，在弹出框中点击确定即选课成功</w:t>
      </w:r>
    </w:p>
    <w:p w14:paraId="7EAC11A3">
      <w:pPr>
        <w:spacing w:line="360" w:lineRule="auto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drawing>
          <wp:inline distT="0" distB="0" distL="0" distR="0">
            <wp:extent cx="5274310" cy="2194560"/>
            <wp:effectExtent l="0" t="0" r="2540" b="15240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2D9CBE">
      <w:pPr>
        <w:spacing w:line="360" w:lineRule="auto"/>
        <w:rPr>
          <w:rFonts w:hint="eastAsia" w:asciiTheme="minorEastAsia" w:hAnsiTheme="minorEastAsia" w:cstheme="minorEastAsia"/>
          <w:sz w:val="24"/>
        </w:rPr>
      </w:pPr>
    </w:p>
    <w:p w14:paraId="32E2E8AF">
      <w:pPr>
        <w:spacing w:line="360" w:lineRule="auto"/>
        <w:rPr>
          <w:rFonts w:hint="eastAsia" w:asciiTheme="minorEastAsia" w:hAnsiTheme="minorEastAsia" w:cstheme="minorEastAsia"/>
          <w:sz w:val="24"/>
        </w:rPr>
      </w:pPr>
    </w:p>
    <w:p w14:paraId="46055C3D">
      <w:pPr>
        <w:spacing w:line="360" w:lineRule="auto"/>
        <w:ind w:firstLine="240" w:firstLineChars="100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步骤六：点击查看已选课程。</w:t>
      </w:r>
    </w:p>
    <w:p w14:paraId="56B061C2">
      <w:pPr>
        <w:spacing w:line="360" w:lineRule="auto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drawing>
          <wp:inline distT="0" distB="0" distL="0" distR="0">
            <wp:extent cx="5274310" cy="2082165"/>
            <wp:effectExtent l="0" t="0" r="2540" b="13335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82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A321E6">
      <w:pPr>
        <w:spacing w:line="360" w:lineRule="auto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其他功能</w:t>
      </w:r>
    </w:p>
    <w:p w14:paraId="585846E6">
      <w:pPr>
        <w:pStyle w:val="19"/>
        <w:numPr>
          <w:ilvl w:val="0"/>
          <w:numId w:val="3"/>
        </w:numPr>
        <w:spacing w:line="360" w:lineRule="auto"/>
        <w:ind w:firstLineChars="0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全校课程查询：可以查询本轮次的所有课程，并可以检查每一门课因为什么而不能选择。如下图</w:t>
      </w:r>
    </w:p>
    <w:p w14:paraId="47E44E1C">
      <w:pPr>
        <w:spacing w:line="360" w:lineRule="auto"/>
        <w:ind w:left="360"/>
      </w:pPr>
      <w:r>
        <w:drawing>
          <wp:inline distT="0" distB="0" distL="114300" distR="114300">
            <wp:extent cx="5260340" cy="2361565"/>
            <wp:effectExtent l="0" t="0" r="12700" b="635"/>
            <wp:docPr id="2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236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0583BC">
      <w:pPr>
        <w:spacing w:line="360" w:lineRule="auto"/>
        <w:ind w:left="360"/>
      </w:pPr>
      <w:r>
        <w:drawing>
          <wp:inline distT="0" distB="0" distL="114300" distR="114300">
            <wp:extent cx="5257800" cy="2460625"/>
            <wp:effectExtent l="0" t="0" r="0" b="8255"/>
            <wp:docPr id="2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46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A60038">
      <w:pPr>
        <w:spacing w:line="360" w:lineRule="auto"/>
        <w:ind w:left="360"/>
      </w:pPr>
      <w:r>
        <w:rPr>
          <w:rFonts w:hint="eastAsia" w:asciiTheme="minorEastAsia" w:hAnsiTheme="minorEastAsia" w:eastAsiaTheme="minorEastAsia" w:cstheme="minorEastAsia"/>
          <w:kern w:val="2"/>
          <w:sz w:val="24"/>
          <w:szCs w:val="22"/>
          <w:lang w:val="en-US" w:eastAsia="zh-CN" w:bidi="ar-SA"/>
        </w:rPr>
        <w:t>如果显示“可选”，则可以在对应可选的页签</w:t>
      </w:r>
      <w:r>
        <w:rPr>
          <w:rFonts w:hint="eastAsia" w:asciiTheme="minorEastAsia" w:hAnsiTheme="minorEastAsia" w:cstheme="minorEastAsia"/>
          <w:kern w:val="2"/>
          <w:sz w:val="24"/>
          <w:szCs w:val="22"/>
          <w:lang w:val="en-US" w:eastAsia="zh-CN" w:bidi="ar-SA"/>
        </w:rPr>
        <w:t>名称</w:t>
      </w:r>
      <w:r>
        <w:rPr>
          <w:rFonts w:hint="eastAsia" w:asciiTheme="minorEastAsia" w:hAnsiTheme="minorEastAsia" w:eastAsiaTheme="minorEastAsia" w:cstheme="minorEastAsia"/>
          <w:kern w:val="2"/>
          <w:sz w:val="24"/>
          <w:szCs w:val="22"/>
          <w:lang w:val="en-US" w:eastAsia="zh-CN" w:bidi="ar-SA"/>
        </w:rPr>
        <w:t>点击“选课”，即可跳转</w:t>
      </w:r>
      <w:r>
        <w:rPr>
          <w:rFonts w:hint="eastAsia" w:asciiTheme="minorEastAsia" w:hAnsiTheme="minorEastAsia" w:cstheme="minorEastAsia"/>
          <w:kern w:val="2"/>
          <w:sz w:val="24"/>
          <w:szCs w:val="22"/>
          <w:lang w:val="en-US" w:eastAsia="zh-CN" w:bidi="ar-SA"/>
        </w:rPr>
        <w:t>到</w:t>
      </w:r>
      <w:r>
        <w:rPr>
          <w:rFonts w:hint="eastAsia" w:asciiTheme="minorEastAsia" w:hAnsiTheme="minorEastAsia" w:eastAsiaTheme="minorEastAsia" w:cstheme="minorEastAsia"/>
          <w:kern w:val="2"/>
          <w:sz w:val="24"/>
          <w:szCs w:val="22"/>
          <w:lang w:val="en-US" w:eastAsia="zh-CN" w:bidi="ar-SA"/>
        </w:rPr>
        <w:t>选课的页签，如下</w:t>
      </w:r>
      <w:r>
        <w:rPr>
          <w:rFonts w:hint="eastAsia" w:asciiTheme="minorEastAsia" w:hAnsiTheme="minorEastAsia" w:cstheme="minorEastAsia"/>
          <w:kern w:val="2"/>
          <w:sz w:val="24"/>
          <w:szCs w:val="22"/>
          <w:lang w:val="en-US" w:eastAsia="zh-CN" w:bidi="ar-SA"/>
        </w:rPr>
        <w:t>图</w:t>
      </w:r>
      <w:r>
        <w:rPr>
          <w:rFonts w:hint="eastAsia" w:asciiTheme="minorEastAsia" w:hAnsiTheme="minorEastAsia" w:eastAsiaTheme="minorEastAsia" w:cstheme="minorEastAsia"/>
          <w:kern w:val="2"/>
          <w:sz w:val="24"/>
          <w:szCs w:val="22"/>
          <w:lang w:val="en-US" w:eastAsia="zh-CN" w:bidi="ar-SA"/>
        </w:rPr>
        <w:br w:type="textWrapping"/>
      </w:r>
      <w:r>
        <w:drawing>
          <wp:inline distT="0" distB="0" distL="114300" distR="114300">
            <wp:extent cx="5266690" cy="2026920"/>
            <wp:effectExtent l="0" t="0" r="6350" b="0"/>
            <wp:docPr id="2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02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FB7216">
      <w:pPr>
        <w:spacing w:line="360" w:lineRule="auto"/>
        <w:ind w:left="360"/>
      </w:pPr>
    </w:p>
    <w:p w14:paraId="162BBE13">
      <w:pPr>
        <w:spacing w:line="360" w:lineRule="auto"/>
        <w:ind w:left="360"/>
        <w:rPr>
          <w:rFonts w:hint="eastAsia" w:asciiTheme="minorEastAsia" w:hAnsiTheme="minorEastAsia" w:cstheme="minorEastAsia"/>
          <w:kern w:val="2"/>
          <w:sz w:val="24"/>
          <w:szCs w:val="22"/>
          <w:lang w:val="en-US" w:eastAsia="zh-CN" w:bidi="ar-SA"/>
        </w:rPr>
      </w:pPr>
      <w:r>
        <w:rPr>
          <w:rFonts w:hint="eastAsia" w:asciiTheme="minorEastAsia" w:hAnsiTheme="minorEastAsia" w:cstheme="minorEastAsia"/>
          <w:kern w:val="2"/>
          <w:sz w:val="24"/>
          <w:szCs w:val="22"/>
          <w:lang w:val="en-US" w:eastAsia="zh-CN" w:bidi="ar-SA"/>
        </w:rPr>
        <w:t>（</w:t>
      </w:r>
      <w:r>
        <w:rPr>
          <w:rFonts w:hint="eastAsia" w:asciiTheme="minorEastAsia" w:hAnsiTheme="minorEastAsia" w:eastAsiaTheme="minorEastAsia" w:cstheme="minorEastAsia"/>
          <w:kern w:val="2"/>
          <w:sz w:val="24"/>
          <w:szCs w:val="22"/>
          <w:lang w:val="en-US" w:eastAsia="zh-CN" w:bidi="ar-SA"/>
        </w:rPr>
        <w:t>2</w:t>
      </w:r>
      <w:r>
        <w:rPr>
          <w:rFonts w:hint="eastAsia" w:asciiTheme="minorEastAsia" w:hAnsiTheme="minorEastAsia" w:cstheme="minorEastAsia"/>
          <w:kern w:val="2"/>
          <w:sz w:val="24"/>
          <w:szCs w:val="22"/>
          <w:lang w:val="en-US" w:eastAsia="zh-CN" w:bidi="ar-SA"/>
        </w:rPr>
        <w:t>）其他方案内课程：课程标签字段，有3种显示结果“低年级课程”‘、“高年级课程”、“本年级课程”。如果为“低年级课程”，就是同专业低年级开的课；同理，“高年级课程”，就是同专业高年级开的课。</w:t>
      </w:r>
    </w:p>
    <w:p w14:paraId="20D1464A">
      <w:pPr>
        <w:spacing w:line="360" w:lineRule="auto"/>
        <w:ind w:left="360"/>
        <w:rPr>
          <w:rFonts w:hint="default" w:asciiTheme="minorEastAsia" w:hAnsiTheme="minorEastAsia" w:cstheme="minorEastAsia"/>
          <w:kern w:val="2"/>
          <w:sz w:val="24"/>
          <w:szCs w:val="22"/>
          <w:lang w:val="en-US" w:eastAsia="zh-CN" w:bidi="ar-SA"/>
        </w:rPr>
      </w:pPr>
      <w:r>
        <w:drawing>
          <wp:inline distT="0" distB="0" distL="114300" distR="114300">
            <wp:extent cx="5266690" cy="1785620"/>
            <wp:effectExtent l="0" t="0" r="6350" b="12700"/>
            <wp:docPr id="2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78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95574C">
      <w:pPr>
        <w:pStyle w:val="19"/>
        <w:numPr>
          <w:numId w:val="0"/>
        </w:numPr>
        <w:spacing w:line="360" w:lineRule="auto"/>
        <w:ind w:firstLine="480" w:firstLineChars="200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  <w:lang w:eastAsia="zh-CN"/>
        </w:rPr>
        <w:t>（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>3</w:t>
      </w:r>
      <w:r>
        <w:rPr>
          <w:rFonts w:hint="eastAsia" w:asciiTheme="minorEastAsia" w:hAnsiTheme="minorEastAsia" w:cstheme="minorEastAsia"/>
          <w:sz w:val="24"/>
          <w:lang w:eastAsia="zh-CN"/>
        </w:rPr>
        <w:t>）</w:t>
      </w:r>
      <w:r>
        <w:rPr>
          <w:rFonts w:hint="eastAsia" w:asciiTheme="minorEastAsia" w:hAnsiTheme="minorEastAsia" w:cstheme="minorEastAsia"/>
          <w:sz w:val="24"/>
        </w:rPr>
        <w:t>选课页面右边的按钮“</w:t>
      </w:r>
      <w:r>
        <w:rPr>
          <w:rFonts w:hint="eastAsia" w:asciiTheme="minorEastAsia" w:hAnsiTheme="minorEastAsia" w:cstheme="minorEastAsia"/>
          <w:sz w:val="24"/>
        </w:rPr>
        <w:drawing>
          <wp:inline distT="0" distB="0" distL="0" distR="0">
            <wp:extent cx="487680" cy="480060"/>
            <wp:effectExtent l="0" t="0" r="7620" b="15240"/>
            <wp:docPr id="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7722" cy="480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cstheme="minorEastAsia"/>
          <w:sz w:val="24"/>
        </w:rPr>
        <w:t>”：点击后，会弹出6个按钮：</w:t>
      </w:r>
    </w:p>
    <w:p w14:paraId="2842D142">
      <w:pPr>
        <w:spacing w:line="360" w:lineRule="auto"/>
        <w:ind w:left="360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drawing>
          <wp:inline distT="0" distB="0" distL="0" distR="0">
            <wp:extent cx="5274310" cy="2362200"/>
            <wp:effectExtent l="0" t="0" r="2540" b="0"/>
            <wp:docPr id="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6291DE">
      <w:pPr>
        <w:pStyle w:val="19"/>
        <w:numPr>
          <w:ilvl w:val="1"/>
          <w:numId w:val="3"/>
        </w:numPr>
        <w:spacing w:line="360" w:lineRule="auto"/>
        <w:ind w:firstLineChars="0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退出：及退出选课系统，退出后需要重新登录系统</w:t>
      </w:r>
    </w:p>
    <w:p w14:paraId="2E82B0AA">
      <w:pPr>
        <w:pStyle w:val="19"/>
        <w:numPr>
          <w:ilvl w:val="1"/>
          <w:numId w:val="3"/>
        </w:numPr>
        <w:spacing w:line="360" w:lineRule="auto"/>
        <w:ind w:firstLineChars="0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回首页：页面将跳转到首页</w:t>
      </w:r>
    </w:p>
    <w:p w14:paraId="66C03A61">
      <w:pPr>
        <w:pStyle w:val="19"/>
        <w:numPr>
          <w:ilvl w:val="1"/>
          <w:numId w:val="3"/>
        </w:numPr>
        <w:spacing w:line="360" w:lineRule="auto"/>
        <w:ind w:firstLineChars="0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我的：点击后，可查询已选学分，并可更换校区</w:t>
      </w:r>
    </w:p>
    <w:p w14:paraId="778C8628">
      <w:pPr>
        <w:spacing w:line="360" w:lineRule="auto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drawing>
          <wp:inline distT="0" distB="0" distL="0" distR="0">
            <wp:extent cx="5274310" cy="2194560"/>
            <wp:effectExtent l="0" t="0" r="2540" b="15240"/>
            <wp:docPr id="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03B473">
      <w:pPr>
        <w:pStyle w:val="19"/>
        <w:numPr>
          <w:ilvl w:val="1"/>
          <w:numId w:val="3"/>
        </w:numPr>
        <w:spacing w:line="360" w:lineRule="auto"/>
        <w:ind w:firstLineChars="0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课表：点击后，弹出课表页面</w:t>
      </w:r>
    </w:p>
    <w:p w14:paraId="5A2E8CCC">
      <w:pPr>
        <w:spacing w:line="360" w:lineRule="auto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drawing>
          <wp:inline distT="0" distB="0" distL="0" distR="0">
            <wp:extent cx="5274310" cy="2919730"/>
            <wp:effectExtent l="0" t="0" r="2540" b="13970"/>
            <wp:docPr id="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19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DC52F6">
      <w:pPr>
        <w:pStyle w:val="19"/>
        <w:numPr>
          <w:ilvl w:val="1"/>
          <w:numId w:val="3"/>
        </w:numPr>
        <w:spacing w:line="360" w:lineRule="auto"/>
        <w:ind w:firstLineChars="0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换轮次：点击后，弹出选择轮次对话框</w:t>
      </w:r>
    </w:p>
    <w:p w14:paraId="0D6793F1">
      <w:pPr>
        <w:spacing w:line="360" w:lineRule="auto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drawing>
          <wp:inline distT="0" distB="0" distL="0" distR="0">
            <wp:extent cx="5274310" cy="1603375"/>
            <wp:effectExtent l="0" t="0" r="2540" b="15875"/>
            <wp:docPr id="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0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A33F98">
      <w:pPr>
        <w:pStyle w:val="19"/>
        <w:numPr>
          <w:ilvl w:val="1"/>
          <w:numId w:val="3"/>
        </w:numPr>
        <w:spacing w:line="360" w:lineRule="auto"/>
        <w:ind w:firstLineChars="0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清缓存：刷新选课缓存</w:t>
      </w:r>
    </w:p>
    <w:p w14:paraId="66CB8927">
      <w:pPr>
        <w:pStyle w:val="19"/>
        <w:numPr>
          <w:numId w:val="0"/>
        </w:numPr>
        <w:spacing w:line="360" w:lineRule="auto"/>
        <w:ind w:left="360" w:leftChars="0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  <w:lang w:eastAsia="zh-CN"/>
        </w:rPr>
        <w:t>（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>4</w:t>
      </w:r>
      <w:r>
        <w:rPr>
          <w:rFonts w:hint="eastAsia" w:asciiTheme="minorEastAsia" w:hAnsiTheme="minorEastAsia" w:cstheme="minorEastAsia"/>
          <w:sz w:val="24"/>
          <w:lang w:eastAsia="zh-CN"/>
        </w:rPr>
        <w:t>）</w:t>
      </w:r>
      <w:r>
        <w:rPr>
          <w:rFonts w:hint="eastAsia" w:asciiTheme="minorEastAsia" w:hAnsiTheme="minorEastAsia" w:cstheme="minorEastAsia"/>
          <w:sz w:val="24"/>
        </w:rPr>
        <w:t>选课系统学校logo：学校logo可以进行点击，点击后，页面跳转到首页</w:t>
      </w:r>
    </w:p>
    <w:p w14:paraId="29597C54">
      <w:pPr>
        <w:spacing w:line="360" w:lineRule="auto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drawing>
          <wp:inline distT="0" distB="0" distL="0" distR="0">
            <wp:extent cx="5274310" cy="2065655"/>
            <wp:effectExtent l="0" t="0" r="2540" b="10795"/>
            <wp:docPr id="1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6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037037">
      <w:pPr>
        <w:pStyle w:val="19"/>
        <w:numPr>
          <w:numId w:val="0"/>
        </w:numPr>
        <w:spacing w:line="360" w:lineRule="auto"/>
        <w:ind w:left="360" w:leftChars="0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  <w:lang w:eastAsia="zh-CN"/>
        </w:rPr>
        <w:t>（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>5</w:t>
      </w:r>
      <w:r>
        <w:rPr>
          <w:rFonts w:hint="eastAsia" w:asciiTheme="minorEastAsia" w:hAnsiTheme="minorEastAsia" w:cstheme="minorEastAsia"/>
          <w:sz w:val="24"/>
          <w:lang w:eastAsia="zh-CN"/>
        </w:rPr>
        <w:t>）</w:t>
      </w:r>
      <w:r>
        <w:rPr>
          <w:rFonts w:hint="eastAsia" w:asciiTheme="minorEastAsia" w:hAnsiTheme="minorEastAsia" w:cstheme="minorEastAsia"/>
          <w:sz w:val="24"/>
        </w:rPr>
        <w:t>选课帮助：点击后弹出选课操作流程图片</w:t>
      </w:r>
      <w:bookmarkStart w:id="0" w:name="_GoBack"/>
      <w:bookmarkEnd w:id="0"/>
    </w:p>
    <w:p w14:paraId="43F4D5AE">
      <w:pPr>
        <w:spacing w:line="360" w:lineRule="auto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drawing>
          <wp:inline distT="0" distB="0" distL="0" distR="0">
            <wp:extent cx="5274310" cy="2880360"/>
            <wp:effectExtent l="0" t="0" r="2540" b="15240"/>
            <wp:docPr id="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B65D0A">
      <w:pPr>
        <w:spacing w:line="360" w:lineRule="auto"/>
        <w:ind w:left="360"/>
        <w:rPr>
          <w:rFonts w:hint="eastAsia" w:asciiTheme="minorEastAsia" w:hAnsiTheme="minorEastAsia" w:cstheme="minorEastAsia"/>
          <w:sz w:val="24"/>
        </w:rPr>
      </w:pPr>
    </w:p>
    <w:p w14:paraId="491C0087">
      <w:pPr>
        <w:spacing w:line="360" w:lineRule="auto"/>
        <w:rPr>
          <w:rFonts w:hint="eastAsia" w:asciiTheme="minorEastAsia" w:hAnsiTheme="minorEastAsia" w:cstheme="minorEastAsia"/>
          <w:sz w:val="24"/>
        </w:rPr>
      </w:pPr>
    </w:p>
    <w:p w14:paraId="524D2836">
      <w:pPr>
        <w:spacing w:line="360" w:lineRule="auto"/>
        <w:rPr>
          <w:rFonts w:hint="eastAsia" w:asciiTheme="minorEastAsia" w:hAnsiTheme="minorEastAsia" w:cstheme="minorEastAsia"/>
          <w:sz w:val="24"/>
        </w:rPr>
      </w:pPr>
    </w:p>
    <w:p w14:paraId="750C9268">
      <w:pPr>
        <w:spacing w:line="360" w:lineRule="auto"/>
        <w:rPr>
          <w:rStyle w:val="23"/>
          <w:rFonts w:hint="eastAsia" w:asciiTheme="minorEastAsia" w:hAnsiTheme="minorEastAsia" w:eastAsiaTheme="minorEastAsia" w:cstheme="minorEastAsia"/>
          <w:bCs/>
          <w:snapToGrid/>
          <w:color w:val="0D0D0D"/>
          <w:sz w:val="30"/>
          <w:szCs w:val="28"/>
        </w:rPr>
      </w:pPr>
      <w:r>
        <w:rPr>
          <w:rStyle w:val="23"/>
          <w:rFonts w:hint="eastAsia" w:asciiTheme="minorEastAsia" w:hAnsiTheme="minorEastAsia" w:eastAsiaTheme="minorEastAsia" w:cstheme="minorEastAsia"/>
          <w:bCs/>
          <w:snapToGrid/>
          <w:color w:val="0D0D0D"/>
          <w:sz w:val="24"/>
          <w:szCs w:val="24"/>
        </w:rPr>
        <w:br w:type="page"/>
      </w:r>
    </w:p>
    <w:p w14:paraId="24FB3D2C">
      <w:pPr>
        <w:ind w:left="36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12"/>
    <w:multiLevelType w:val="multilevel"/>
    <w:tmpl w:val="00000012"/>
    <w:lvl w:ilvl="0" w:tentative="0">
      <w:start w:val="1"/>
      <w:numFmt w:val="decimal"/>
      <w:pStyle w:val="2"/>
      <w:lvlText w:val="%1"/>
      <w:lvlJc w:val="left"/>
      <w:pPr>
        <w:ind w:left="432" w:hanging="432"/>
      </w:pPr>
    </w:lvl>
    <w:lvl w:ilvl="1" w:tentative="0">
      <w:start w:val="1"/>
      <w:numFmt w:val="decimal"/>
      <w:pStyle w:val="3"/>
      <w:lvlText w:val="%1.%2"/>
      <w:lvlJc w:val="left"/>
      <w:pPr>
        <w:ind w:left="576" w:hanging="576"/>
      </w:pPr>
      <w:rPr>
        <w:rFonts w:hint="default" w:ascii="Trebuchet MS" w:hAnsi="Trebuchet MS"/>
      </w:rPr>
    </w:lvl>
    <w:lvl w:ilvl="2" w:tentative="0">
      <w:start w:val="1"/>
      <w:numFmt w:val="decimal"/>
      <w:pStyle w:val="4"/>
      <w:lvlText w:val="%1.%2.%3"/>
      <w:lvlJc w:val="left"/>
      <w:pPr>
        <w:ind w:left="2421" w:hanging="720"/>
      </w:pPr>
    </w:lvl>
    <w:lvl w:ilvl="3" w:tentative="0">
      <w:start w:val="1"/>
      <w:numFmt w:val="decimal"/>
      <w:pStyle w:val="5"/>
      <w:lvlText w:val="%1.%2.%3.%4"/>
      <w:lvlJc w:val="left"/>
      <w:pPr>
        <w:ind w:left="5401" w:hanging="864"/>
      </w:pPr>
      <w:rPr>
        <w:rFonts w:hint="default" w:ascii="Trebuchet MS" w:hAnsi="Trebuchet MS"/>
      </w:rPr>
    </w:lvl>
    <w:lvl w:ilvl="4" w:tentative="0">
      <w:start w:val="1"/>
      <w:numFmt w:val="decimal"/>
      <w:pStyle w:val="6"/>
      <w:lvlText w:val="%1.%2.%3.%4.%5"/>
      <w:lvlJc w:val="left"/>
      <w:pPr>
        <w:ind w:left="1008" w:hanging="1008"/>
      </w:pPr>
    </w:lvl>
    <w:lvl w:ilvl="5" w:tentative="0">
      <w:start w:val="1"/>
      <w:numFmt w:val="decimal"/>
      <w:pStyle w:val="7"/>
      <w:lvlText w:val="%1.%2.%3.%4.%5.%6"/>
      <w:lvlJc w:val="left"/>
      <w:pPr>
        <w:ind w:left="1577" w:hanging="1152"/>
      </w:pPr>
    </w:lvl>
    <w:lvl w:ilvl="6" w:tentative="0">
      <w:start w:val="1"/>
      <w:numFmt w:val="decimal"/>
      <w:pStyle w:val="8"/>
      <w:lvlText w:val="%1.%2.%3.%4.%5.%6.%7"/>
      <w:lvlJc w:val="left"/>
      <w:pPr>
        <w:ind w:left="1296" w:hanging="1296"/>
      </w:pPr>
    </w:lvl>
    <w:lvl w:ilvl="7" w:tentative="0">
      <w:start w:val="1"/>
      <w:numFmt w:val="decimal"/>
      <w:pStyle w:val="9"/>
      <w:lvlText w:val="%1.%2.%3.%4.%5.%6.%7.%8"/>
      <w:lvlJc w:val="left"/>
      <w:pPr>
        <w:ind w:left="1440" w:hanging="1440"/>
      </w:pPr>
    </w:lvl>
    <w:lvl w:ilvl="8" w:tentative="0">
      <w:start w:val="1"/>
      <w:numFmt w:val="decimal"/>
      <w:pStyle w:val="10"/>
      <w:lvlText w:val="%1.%2.%3.%4.%5.%6.%7.%8.%9"/>
      <w:lvlJc w:val="left"/>
      <w:pPr>
        <w:ind w:left="1584" w:hanging="1584"/>
      </w:pPr>
    </w:lvl>
  </w:abstractNum>
  <w:abstractNum w:abstractNumId="1">
    <w:nsid w:val="22A133A6"/>
    <w:multiLevelType w:val="multilevel"/>
    <w:tmpl w:val="22A133A6"/>
    <w:lvl w:ilvl="0" w:tentative="0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entative="0">
      <w:start w:val="1"/>
      <w:numFmt w:val="decimalEnclosedCircle"/>
      <w:lvlText w:val="%2"/>
      <w:lvlJc w:val="left"/>
      <w:pPr>
        <w:ind w:left="116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1680" w:hanging="440"/>
      </w:pPr>
    </w:lvl>
    <w:lvl w:ilvl="3" w:tentative="0">
      <w:start w:val="1"/>
      <w:numFmt w:val="decimal"/>
      <w:lvlText w:val="%4."/>
      <w:lvlJc w:val="left"/>
      <w:pPr>
        <w:ind w:left="2120" w:hanging="440"/>
      </w:pPr>
    </w:lvl>
    <w:lvl w:ilvl="4" w:tentative="0">
      <w:start w:val="1"/>
      <w:numFmt w:val="lowerLetter"/>
      <w:lvlText w:val="%5)"/>
      <w:lvlJc w:val="left"/>
      <w:pPr>
        <w:ind w:left="2560" w:hanging="440"/>
      </w:pPr>
    </w:lvl>
    <w:lvl w:ilvl="5" w:tentative="0">
      <w:start w:val="1"/>
      <w:numFmt w:val="lowerRoman"/>
      <w:lvlText w:val="%6."/>
      <w:lvlJc w:val="right"/>
      <w:pPr>
        <w:ind w:left="3000" w:hanging="440"/>
      </w:pPr>
    </w:lvl>
    <w:lvl w:ilvl="6" w:tentative="0">
      <w:start w:val="1"/>
      <w:numFmt w:val="decimal"/>
      <w:lvlText w:val="%7."/>
      <w:lvlJc w:val="left"/>
      <w:pPr>
        <w:ind w:left="3440" w:hanging="440"/>
      </w:pPr>
    </w:lvl>
    <w:lvl w:ilvl="7" w:tentative="0">
      <w:start w:val="1"/>
      <w:numFmt w:val="lowerLetter"/>
      <w:lvlText w:val="%8)"/>
      <w:lvlJc w:val="left"/>
      <w:pPr>
        <w:ind w:left="3880" w:hanging="440"/>
      </w:pPr>
    </w:lvl>
    <w:lvl w:ilvl="8" w:tentative="0">
      <w:start w:val="1"/>
      <w:numFmt w:val="lowerRoman"/>
      <w:lvlText w:val="%9."/>
      <w:lvlJc w:val="right"/>
      <w:pPr>
        <w:ind w:left="4320" w:hanging="440"/>
      </w:pPr>
    </w:lvl>
  </w:abstractNum>
  <w:abstractNum w:abstractNumId="2">
    <w:nsid w:val="739E57B3"/>
    <w:multiLevelType w:val="multilevel"/>
    <w:tmpl w:val="739E57B3"/>
    <w:lvl w:ilvl="0" w:tentative="0">
      <w:start w:val="1"/>
      <w:numFmt w:val="decimalEnclosedCircle"/>
      <w:lvlText w:val="%1"/>
      <w:lvlJc w:val="left"/>
      <w:pPr>
        <w:ind w:left="1452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612" w:hanging="440"/>
      </w:pPr>
    </w:lvl>
    <w:lvl w:ilvl="2" w:tentative="0">
      <w:start w:val="1"/>
      <w:numFmt w:val="lowerRoman"/>
      <w:lvlText w:val="%3."/>
      <w:lvlJc w:val="right"/>
      <w:pPr>
        <w:ind w:left="2052" w:hanging="440"/>
      </w:pPr>
    </w:lvl>
    <w:lvl w:ilvl="3" w:tentative="0">
      <w:start w:val="1"/>
      <w:numFmt w:val="decimal"/>
      <w:lvlText w:val="%4."/>
      <w:lvlJc w:val="left"/>
      <w:pPr>
        <w:ind w:left="2492" w:hanging="440"/>
      </w:pPr>
    </w:lvl>
    <w:lvl w:ilvl="4" w:tentative="0">
      <w:start w:val="1"/>
      <w:numFmt w:val="lowerLetter"/>
      <w:lvlText w:val="%5)"/>
      <w:lvlJc w:val="left"/>
      <w:pPr>
        <w:ind w:left="2932" w:hanging="440"/>
      </w:pPr>
    </w:lvl>
    <w:lvl w:ilvl="5" w:tentative="0">
      <w:start w:val="1"/>
      <w:numFmt w:val="lowerRoman"/>
      <w:lvlText w:val="%6."/>
      <w:lvlJc w:val="right"/>
      <w:pPr>
        <w:ind w:left="3372" w:hanging="440"/>
      </w:pPr>
    </w:lvl>
    <w:lvl w:ilvl="6" w:tentative="0">
      <w:start w:val="1"/>
      <w:numFmt w:val="decimal"/>
      <w:lvlText w:val="%7."/>
      <w:lvlJc w:val="left"/>
      <w:pPr>
        <w:ind w:left="3812" w:hanging="440"/>
      </w:pPr>
    </w:lvl>
    <w:lvl w:ilvl="7" w:tentative="0">
      <w:start w:val="1"/>
      <w:numFmt w:val="lowerLetter"/>
      <w:lvlText w:val="%8)"/>
      <w:lvlJc w:val="left"/>
      <w:pPr>
        <w:ind w:left="4252" w:hanging="440"/>
      </w:pPr>
    </w:lvl>
    <w:lvl w:ilvl="8" w:tentative="0">
      <w:start w:val="1"/>
      <w:numFmt w:val="lowerRoman"/>
      <w:lvlText w:val="%9."/>
      <w:lvlJc w:val="right"/>
      <w:pPr>
        <w:ind w:left="4692" w:hanging="44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0OTRkYmM2MGZlMTI4ZjI0NzI3OGFhZTViM2UzNzAifQ=="/>
  </w:docVars>
  <w:rsids>
    <w:rsidRoot w:val="00AD725D"/>
    <w:rsid w:val="000011E0"/>
    <w:rsid w:val="00024DA7"/>
    <w:rsid w:val="0002717B"/>
    <w:rsid w:val="000A1F8E"/>
    <w:rsid w:val="000C29EF"/>
    <w:rsid w:val="001C358F"/>
    <w:rsid w:val="0022273D"/>
    <w:rsid w:val="0025390C"/>
    <w:rsid w:val="00280C24"/>
    <w:rsid w:val="002F33AF"/>
    <w:rsid w:val="002F42C1"/>
    <w:rsid w:val="002F5230"/>
    <w:rsid w:val="003C14A9"/>
    <w:rsid w:val="003E3498"/>
    <w:rsid w:val="003F0A98"/>
    <w:rsid w:val="00454DD2"/>
    <w:rsid w:val="004A7368"/>
    <w:rsid w:val="004D755E"/>
    <w:rsid w:val="004E30DA"/>
    <w:rsid w:val="004F553B"/>
    <w:rsid w:val="00512B98"/>
    <w:rsid w:val="00580F72"/>
    <w:rsid w:val="005A23E1"/>
    <w:rsid w:val="005A7CF6"/>
    <w:rsid w:val="00646A6A"/>
    <w:rsid w:val="00652A96"/>
    <w:rsid w:val="00686FC1"/>
    <w:rsid w:val="006A0300"/>
    <w:rsid w:val="006B30C6"/>
    <w:rsid w:val="00720EF3"/>
    <w:rsid w:val="0079627A"/>
    <w:rsid w:val="00855E5C"/>
    <w:rsid w:val="0088724A"/>
    <w:rsid w:val="008D0531"/>
    <w:rsid w:val="008F265C"/>
    <w:rsid w:val="00926379"/>
    <w:rsid w:val="009331FB"/>
    <w:rsid w:val="009513FE"/>
    <w:rsid w:val="009629ED"/>
    <w:rsid w:val="00A2431A"/>
    <w:rsid w:val="00A7757D"/>
    <w:rsid w:val="00A77C13"/>
    <w:rsid w:val="00A84908"/>
    <w:rsid w:val="00AB351A"/>
    <w:rsid w:val="00AC29C9"/>
    <w:rsid w:val="00AD725D"/>
    <w:rsid w:val="00B412E4"/>
    <w:rsid w:val="00BD1E5D"/>
    <w:rsid w:val="00CA1001"/>
    <w:rsid w:val="00CE0ECD"/>
    <w:rsid w:val="00D54A8B"/>
    <w:rsid w:val="00D60AA0"/>
    <w:rsid w:val="00DA2F75"/>
    <w:rsid w:val="00DC75D0"/>
    <w:rsid w:val="00DF0588"/>
    <w:rsid w:val="00E06B73"/>
    <w:rsid w:val="00E364C5"/>
    <w:rsid w:val="00E67D70"/>
    <w:rsid w:val="00E95971"/>
    <w:rsid w:val="00EA4379"/>
    <w:rsid w:val="00F34D04"/>
    <w:rsid w:val="00F8207C"/>
    <w:rsid w:val="00FB4478"/>
    <w:rsid w:val="00FB4EC0"/>
    <w:rsid w:val="00FD15CC"/>
    <w:rsid w:val="00FD46D4"/>
    <w:rsid w:val="25602F43"/>
    <w:rsid w:val="35BA6250"/>
    <w:rsid w:val="385E7A91"/>
    <w:rsid w:val="393A17F3"/>
    <w:rsid w:val="4D515AEA"/>
    <w:rsid w:val="554E6D2C"/>
    <w:rsid w:val="585C234A"/>
    <w:rsid w:val="737E68FA"/>
    <w:rsid w:val="73C52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9" w:semiHidden="0" w:name="heading 4"/>
    <w:lsdException w:qFormat="1" w:unhideWhenUsed="0" w:uiPriority="0" w:semiHidden="0" w:name="heading 5"/>
    <w:lsdException w:qFormat="1" w:unhideWhenUsed="0" w:uiPriority="99" w:semiHidden="0" w:name="heading 6"/>
    <w:lsdException w:qFormat="1" w:unhideWhenUsed="0" w:uiPriority="99" w:semiHidden="0" w:name="heading 7"/>
    <w:lsdException w:qFormat="1" w:unhideWhenUsed="0" w:uiPriority="99" w:semiHidden="0" w:name="heading 8"/>
    <w:lsdException w:qFormat="1" w:unhideWhenUsed="0" w:uiPriority="9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3"/>
    <w:qFormat/>
    <w:uiPriority w:val="0"/>
    <w:pPr>
      <w:keepNext/>
      <w:numPr>
        <w:ilvl w:val="0"/>
        <w:numId w:val="1"/>
      </w:numPr>
      <w:spacing w:line="360" w:lineRule="auto"/>
      <w:jc w:val="left"/>
      <w:outlineLvl w:val="0"/>
    </w:pPr>
    <w:rPr>
      <w:rFonts w:ascii="Trebuchet MS" w:hAnsi="Trebuchet MS" w:eastAsia="宋体" w:cs="Times New Roman"/>
      <w:b/>
      <w:snapToGrid w:val="0"/>
      <w:kern w:val="0"/>
      <w:sz w:val="32"/>
      <w:szCs w:val="20"/>
    </w:rPr>
  </w:style>
  <w:style w:type="paragraph" w:styleId="3">
    <w:name w:val="heading 2"/>
    <w:basedOn w:val="2"/>
    <w:next w:val="1"/>
    <w:link w:val="24"/>
    <w:qFormat/>
    <w:uiPriority w:val="0"/>
    <w:pPr>
      <w:numPr>
        <w:ilvl w:val="1"/>
      </w:numPr>
      <w:outlineLvl w:val="1"/>
    </w:pPr>
    <w:rPr>
      <w:snapToGrid/>
      <w:sz w:val="30"/>
    </w:rPr>
  </w:style>
  <w:style w:type="paragraph" w:styleId="4">
    <w:name w:val="heading 3"/>
    <w:basedOn w:val="2"/>
    <w:next w:val="1"/>
    <w:link w:val="25"/>
    <w:qFormat/>
    <w:uiPriority w:val="0"/>
    <w:pPr>
      <w:numPr>
        <w:ilvl w:val="2"/>
      </w:numPr>
      <w:outlineLvl w:val="2"/>
    </w:pPr>
    <w:rPr>
      <w:sz w:val="28"/>
    </w:rPr>
  </w:style>
  <w:style w:type="paragraph" w:styleId="5">
    <w:name w:val="heading 4"/>
    <w:basedOn w:val="1"/>
    <w:next w:val="1"/>
    <w:link w:val="26"/>
    <w:qFormat/>
    <w:uiPriority w:val="9"/>
    <w:pPr>
      <w:keepLines/>
      <w:numPr>
        <w:ilvl w:val="3"/>
        <w:numId w:val="1"/>
      </w:numPr>
      <w:spacing w:line="360" w:lineRule="auto"/>
      <w:ind w:left="864"/>
      <w:outlineLvl w:val="3"/>
    </w:pPr>
    <w:rPr>
      <w:rFonts w:ascii="Arial" w:hAnsi="Arial" w:eastAsia="宋体" w:cs="Times New Roman"/>
      <w:b/>
      <w:bCs/>
      <w:sz w:val="24"/>
      <w:szCs w:val="28"/>
    </w:rPr>
  </w:style>
  <w:style w:type="paragraph" w:styleId="6">
    <w:name w:val="heading 5"/>
    <w:basedOn w:val="2"/>
    <w:next w:val="1"/>
    <w:link w:val="27"/>
    <w:qFormat/>
    <w:uiPriority w:val="0"/>
    <w:pPr>
      <w:keepLines/>
      <w:widowControl/>
      <w:numPr>
        <w:ilvl w:val="4"/>
      </w:numPr>
      <w:spacing w:line="240" w:lineRule="auto"/>
      <w:outlineLvl w:val="4"/>
    </w:pPr>
    <w:rPr>
      <w:bCs/>
      <w:sz w:val="21"/>
    </w:rPr>
  </w:style>
  <w:style w:type="paragraph" w:styleId="7">
    <w:name w:val="heading 6"/>
    <w:basedOn w:val="6"/>
    <w:next w:val="1"/>
    <w:link w:val="28"/>
    <w:qFormat/>
    <w:uiPriority w:val="99"/>
    <w:pPr>
      <w:numPr>
        <w:ilvl w:val="5"/>
      </w:numPr>
      <w:outlineLvl w:val="5"/>
    </w:pPr>
    <w:rPr>
      <w:bCs w:val="0"/>
    </w:rPr>
  </w:style>
  <w:style w:type="paragraph" w:styleId="8">
    <w:name w:val="heading 7"/>
    <w:basedOn w:val="1"/>
    <w:next w:val="1"/>
    <w:link w:val="29"/>
    <w:qFormat/>
    <w:uiPriority w:val="99"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rFonts w:ascii="Trebuchet MS" w:hAnsi="Trebuchet MS" w:eastAsia="宋体" w:cs="Times New Roman"/>
      <w:b/>
      <w:bCs/>
      <w:sz w:val="24"/>
      <w:szCs w:val="24"/>
    </w:rPr>
  </w:style>
  <w:style w:type="paragraph" w:styleId="9">
    <w:name w:val="heading 8"/>
    <w:basedOn w:val="1"/>
    <w:next w:val="1"/>
    <w:link w:val="30"/>
    <w:qFormat/>
    <w:uiPriority w:val="99"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="Arial" w:hAnsi="Arial" w:eastAsia="黑体" w:cs="Times New Roman"/>
      <w:sz w:val="24"/>
      <w:szCs w:val="24"/>
    </w:rPr>
  </w:style>
  <w:style w:type="paragraph" w:styleId="10">
    <w:name w:val="heading 9"/>
    <w:basedOn w:val="1"/>
    <w:next w:val="1"/>
    <w:link w:val="31"/>
    <w:qFormat/>
    <w:uiPriority w:val="99"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="Arial" w:hAnsi="Arial" w:eastAsia="黑体" w:cs="Times New Roman"/>
      <w:szCs w:val="21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alloon Text"/>
    <w:basedOn w:val="1"/>
    <w:link w:val="22"/>
    <w:semiHidden/>
    <w:unhideWhenUsed/>
    <w:qFormat/>
    <w:uiPriority w:val="99"/>
    <w:rPr>
      <w:sz w:val="18"/>
      <w:szCs w:val="18"/>
    </w:rPr>
  </w:style>
  <w:style w:type="paragraph" w:styleId="12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toc 1"/>
    <w:basedOn w:val="1"/>
    <w:next w:val="1"/>
    <w:autoRedefine/>
    <w:unhideWhenUsed/>
    <w:qFormat/>
    <w:uiPriority w:val="39"/>
  </w:style>
  <w:style w:type="paragraph" w:styleId="15">
    <w:name w:val="toc 2"/>
    <w:basedOn w:val="1"/>
    <w:next w:val="1"/>
    <w:autoRedefine/>
    <w:unhideWhenUsed/>
    <w:qFormat/>
    <w:uiPriority w:val="39"/>
    <w:pPr>
      <w:ind w:left="420" w:leftChars="200"/>
    </w:pPr>
  </w:style>
  <w:style w:type="character" w:styleId="18">
    <w:name w:val="Hyperlink"/>
    <w:basedOn w:val="1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9">
    <w:name w:val="List Paragraph"/>
    <w:basedOn w:val="1"/>
    <w:qFormat/>
    <w:uiPriority w:val="99"/>
    <w:pPr>
      <w:ind w:firstLine="420" w:firstLineChars="200"/>
    </w:pPr>
  </w:style>
  <w:style w:type="character" w:customStyle="1" w:styleId="20">
    <w:name w:val="页眉 字符"/>
    <w:basedOn w:val="17"/>
    <w:link w:val="13"/>
    <w:qFormat/>
    <w:uiPriority w:val="99"/>
    <w:rPr>
      <w:sz w:val="18"/>
      <w:szCs w:val="18"/>
    </w:rPr>
  </w:style>
  <w:style w:type="character" w:customStyle="1" w:styleId="21">
    <w:name w:val="页脚 字符"/>
    <w:basedOn w:val="17"/>
    <w:link w:val="12"/>
    <w:qFormat/>
    <w:uiPriority w:val="99"/>
    <w:rPr>
      <w:sz w:val="18"/>
      <w:szCs w:val="18"/>
    </w:rPr>
  </w:style>
  <w:style w:type="character" w:customStyle="1" w:styleId="22">
    <w:name w:val="批注框文本 字符"/>
    <w:basedOn w:val="17"/>
    <w:link w:val="11"/>
    <w:semiHidden/>
    <w:qFormat/>
    <w:uiPriority w:val="99"/>
    <w:rPr>
      <w:sz w:val="18"/>
      <w:szCs w:val="18"/>
    </w:rPr>
  </w:style>
  <w:style w:type="character" w:customStyle="1" w:styleId="23">
    <w:name w:val="标题 1 字符"/>
    <w:basedOn w:val="17"/>
    <w:link w:val="2"/>
    <w:qFormat/>
    <w:uiPriority w:val="0"/>
    <w:rPr>
      <w:rFonts w:ascii="Trebuchet MS" w:hAnsi="Trebuchet MS" w:eastAsia="宋体" w:cs="Times New Roman"/>
      <w:b/>
      <w:snapToGrid w:val="0"/>
      <w:kern w:val="0"/>
      <w:sz w:val="32"/>
      <w:szCs w:val="20"/>
    </w:rPr>
  </w:style>
  <w:style w:type="character" w:customStyle="1" w:styleId="24">
    <w:name w:val="标题 2 字符"/>
    <w:basedOn w:val="17"/>
    <w:link w:val="3"/>
    <w:qFormat/>
    <w:uiPriority w:val="0"/>
    <w:rPr>
      <w:rFonts w:ascii="Trebuchet MS" w:hAnsi="Trebuchet MS" w:eastAsia="宋体" w:cs="Times New Roman"/>
      <w:b/>
      <w:kern w:val="0"/>
      <w:sz w:val="30"/>
      <w:szCs w:val="20"/>
    </w:rPr>
  </w:style>
  <w:style w:type="character" w:customStyle="1" w:styleId="25">
    <w:name w:val="标题 3 字符"/>
    <w:basedOn w:val="17"/>
    <w:link w:val="4"/>
    <w:qFormat/>
    <w:uiPriority w:val="0"/>
    <w:rPr>
      <w:rFonts w:ascii="Trebuchet MS" w:hAnsi="Trebuchet MS" w:eastAsia="宋体" w:cs="Times New Roman"/>
      <w:b/>
      <w:snapToGrid w:val="0"/>
      <w:kern w:val="0"/>
      <w:sz w:val="28"/>
      <w:szCs w:val="20"/>
    </w:rPr>
  </w:style>
  <w:style w:type="character" w:customStyle="1" w:styleId="26">
    <w:name w:val="标题 4 字符"/>
    <w:basedOn w:val="17"/>
    <w:link w:val="5"/>
    <w:qFormat/>
    <w:uiPriority w:val="9"/>
    <w:rPr>
      <w:rFonts w:ascii="Arial" w:hAnsi="Arial" w:eastAsia="宋体" w:cs="Times New Roman"/>
      <w:b/>
      <w:bCs/>
      <w:sz w:val="24"/>
      <w:szCs w:val="28"/>
    </w:rPr>
  </w:style>
  <w:style w:type="character" w:customStyle="1" w:styleId="27">
    <w:name w:val="标题 5 字符"/>
    <w:basedOn w:val="17"/>
    <w:link w:val="6"/>
    <w:qFormat/>
    <w:uiPriority w:val="0"/>
    <w:rPr>
      <w:rFonts w:ascii="Trebuchet MS" w:hAnsi="Trebuchet MS" w:eastAsia="宋体" w:cs="Times New Roman"/>
      <w:b/>
      <w:bCs/>
      <w:snapToGrid w:val="0"/>
      <w:kern w:val="0"/>
      <w:szCs w:val="20"/>
    </w:rPr>
  </w:style>
  <w:style w:type="character" w:customStyle="1" w:styleId="28">
    <w:name w:val="标题 6 字符"/>
    <w:basedOn w:val="17"/>
    <w:link w:val="7"/>
    <w:qFormat/>
    <w:uiPriority w:val="99"/>
    <w:rPr>
      <w:rFonts w:ascii="Trebuchet MS" w:hAnsi="Trebuchet MS" w:eastAsia="宋体" w:cs="Times New Roman"/>
      <w:b/>
      <w:snapToGrid w:val="0"/>
      <w:kern w:val="0"/>
      <w:szCs w:val="20"/>
    </w:rPr>
  </w:style>
  <w:style w:type="character" w:customStyle="1" w:styleId="29">
    <w:name w:val="标题 7 字符"/>
    <w:basedOn w:val="17"/>
    <w:link w:val="8"/>
    <w:qFormat/>
    <w:uiPriority w:val="99"/>
    <w:rPr>
      <w:rFonts w:ascii="Trebuchet MS" w:hAnsi="Trebuchet MS" w:eastAsia="宋体" w:cs="Times New Roman"/>
      <w:b/>
      <w:bCs/>
      <w:sz w:val="24"/>
      <w:szCs w:val="24"/>
    </w:rPr>
  </w:style>
  <w:style w:type="character" w:customStyle="1" w:styleId="30">
    <w:name w:val="标题 8 字符"/>
    <w:basedOn w:val="17"/>
    <w:link w:val="9"/>
    <w:qFormat/>
    <w:uiPriority w:val="99"/>
    <w:rPr>
      <w:rFonts w:ascii="Arial" w:hAnsi="Arial" w:eastAsia="黑体" w:cs="Times New Roman"/>
      <w:sz w:val="24"/>
      <w:szCs w:val="24"/>
    </w:rPr>
  </w:style>
  <w:style w:type="character" w:customStyle="1" w:styleId="31">
    <w:name w:val="标题 9 字符"/>
    <w:basedOn w:val="17"/>
    <w:link w:val="10"/>
    <w:qFormat/>
    <w:uiPriority w:val="99"/>
    <w:rPr>
      <w:rFonts w:ascii="Arial" w:hAnsi="Arial" w:eastAsia="黑体" w:cs="Times New Roman"/>
      <w:szCs w:val="21"/>
    </w:rPr>
  </w:style>
  <w:style w:type="paragraph" w:customStyle="1" w:styleId="32">
    <w:name w:val="TOC Heading"/>
    <w:basedOn w:val="2"/>
    <w:next w:val="1"/>
    <w:unhideWhenUsed/>
    <w:qFormat/>
    <w:uiPriority w:val="39"/>
    <w:pPr>
      <w:keepLines/>
      <w:widowControl/>
      <w:numPr>
        <w:numId w:val="0"/>
      </w:numPr>
      <w:spacing w:before="240" w:line="259" w:lineRule="auto"/>
      <w:outlineLvl w:val="9"/>
    </w:pPr>
    <w:rPr>
      <w:rFonts w:asciiTheme="majorHAnsi" w:hAnsiTheme="majorHAnsi" w:eastAsiaTheme="majorEastAsia" w:cstheme="majorBidi"/>
      <w:b w:val="0"/>
      <w:snapToGrid/>
      <w:color w:val="2E75B6" w:themeColor="accent1" w:themeShade="BF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4" Type="http://schemas.openxmlformats.org/officeDocument/2006/relationships/fontTable" Target="fontTable.xml"/><Relationship Id="rId23" Type="http://schemas.openxmlformats.org/officeDocument/2006/relationships/numbering" Target="numbering.xml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792</Words>
  <Characters>838</Characters>
  <Lines>8</Lines>
  <Paragraphs>2</Paragraphs>
  <TotalTime>39</TotalTime>
  <ScaleCrop>false</ScaleCrop>
  <LinksUpToDate>false</LinksUpToDate>
  <CharactersWithSpaces>848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2018-08-31T05:21:00Z</dcterms:created>
  <dc:creator>user</dc:creator>
  <cp:lastModifiedBy>昌宝宝</cp:lastModifiedBy>
  <dcterms:modified xsi:type="dcterms:W3CDTF">2025-12-31T06:46:36Z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3645F6E9577D49EA961E71F2C013BE29_13</vt:lpwstr>
  </property>
  <property fmtid="{D5CDD505-2E9C-101B-9397-08002B2CF9AE}" pid="4" name="KSOTemplateDocerSaveRecord">
    <vt:lpwstr>eyJoZGlkIjoiNTU0ZmIwYTQ3NzlmZGUxZmU3Zjk0M2IyZTNmM2IxNjAiLCJ1c2VySWQiOiI2MzA5NzAzMTYifQ==</vt:lpwstr>
  </property>
</Properties>
</file>